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E2" w:rsidRDefault="00F616E2" w:rsidP="00DA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79</w:t>
      </w:r>
    </w:p>
    <w:p w:rsidR="00DA71F4" w:rsidRDefault="00DA71F4" w:rsidP="00DA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VARIACIONES HORMONALES Y METABÓLICAS EN 63 PERSONAS TRANSGÉ</w:t>
      </w:r>
      <w:r w:rsidR="00344A0C" w:rsidRPr="00DA71F4">
        <w:rPr>
          <w:rFonts w:ascii="Times New Roman" w:eastAsia="Times New Roman" w:hAnsi="Times New Roman" w:cs="Times New Roman"/>
          <w:b/>
          <w:bCs/>
        </w:rPr>
        <w:t>NEROS SOMETI</w:t>
      </w:r>
      <w:r>
        <w:rPr>
          <w:rFonts w:ascii="Times New Roman" w:eastAsia="Times New Roman" w:hAnsi="Times New Roman" w:cs="Times New Roman"/>
          <w:b/>
          <w:bCs/>
        </w:rPr>
        <w:t>DAS A TRATAMIENTO DE READECUACIÓ</w:t>
      </w:r>
      <w:r w:rsidR="00344A0C" w:rsidRPr="00DA71F4">
        <w:rPr>
          <w:rFonts w:ascii="Times New Roman" w:eastAsia="Times New Roman" w:hAnsi="Times New Roman" w:cs="Times New Roman"/>
          <w:b/>
          <w:bCs/>
        </w:rPr>
        <w:t>N HORMONAL EN 12 MESES DE SEGUIMIENTO</w:t>
      </w:r>
    </w:p>
    <w:p w:rsidR="00DA71F4" w:rsidRDefault="00344A0C" w:rsidP="00DA71F4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DA71F4">
        <w:rPr>
          <w:rFonts w:ascii="Times New Roman" w:eastAsia="Times New Roman" w:hAnsi="Times New Roman" w:cs="Times New Roman"/>
        </w:rPr>
        <w:t>A</w:t>
      </w:r>
      <w:r w:rsidR="00DA71F4">
        <w:rPr>
          <w:rFonts w:ascii="Times New Roman" w:eastAsia="Times New Roman" w:hAnsi="Times New Roman" w:cs="Times New Roman"/>
        </w:rPr>
        <w:t>ntonio Zapata Pizarro</w:t>
      </w:r>
      <w:r w:rsidRPr="00DA71F4">
        <w:rPr>
          <w:rFonts w:ascii="Times New Roman" w:eastAsia="Times New Roman" w:hAnsi="Times New Roman" w:cs="Times New Roman"/>
          <w:vertAlign w:val="superscript"/>
        </w:rPr>
        <w:t>1</w:t>
      </w:r>
      <w:r w:rsidRPr="00DA71F4">
        <w:rPr>
          <w:rFonts w:ascii="Times New Roman" w:eastAsia="Times New Roman" w:hAnsi="Times New Roman" w:cs="Times New Roman"/>
        </w:rPr>
        <w:t>, Bruno Peralta Jofré</w:t>
      </w:r>
      <w:r w:rsidRPr="00DA71F4">
        <w:rPr>
          <w:rFonts w:ascii="Times New Roman" w:eastAsia="Times New Roman" w:hAnsi="Times New Roman" w:cs="Times New Roman"/>
          <w:vertAlign w:val="superscript"/>
        </w:rPr>
        <w:t>3</w:t>
      </w:r>
      <w:r w:rsidRPr="00DA71F4">
        <w:rPr>
          <w:rFonts w:ascii="Times New Roman" w:eastAsia="Times New Roman" w:hAnsi="Times New Roman" w:cs="Times New Roman"/>
        </w:rPr>
        <w:t xml:space="preserve">, Francisco </w:t>
      </w:r>
      <w:proofErr w:type="spellStart"/>
      <w:r w:rsidRPr="00DA71F4">
        <w:rPr>
          <w:rFonts w:ascii="Times New Roman" w:eastAsia="Times New Roman" w:hAnsi="Times New Roman" w:cs="Times New Roman"/>
        </w:rPr>
        <w:t>Leppes</w:t>
      </w:r>
      <w:proofErr w:type="spellEnd"/>
      <w:r w:rsidRPr="00DA71F4">
        <w:rPr>
          <w:rFonts w:ascii="Times New Roman" w:eastAsia="Times New Roman" w:hAnsi="Times New Roman" w:cs="Times New Roman"/>
        </w:rPr>
        <w:t xml:space="preserve"> Jenkis</w:t>
      </w:r>
      <w:r w:rsidRPr="00DA71F4">
        <w:rPr>
          <w:rFonts w:ascii="Times New Roman" w:eastAsia="Times New Roman" w:hAnsi="Times New Roman" w:cs="Times New Roman"/>
          <w:vertAlign w:val="superscript"/>
        </w:rPr>
        <w:t>2</w:t>
      </w:r>
      <w:r w:rsidRPr="00DA71F4">
        <w:rPr>
          <w:rFonts w:ascii="Times New Roman" w:eastAsia="Times New Roman" w:hAnsi="Times New Roman" w:cs="Times New Roman"/>
        </w:rPr>
        <w:t>, Juan Alvarado Villarroel</w:t>
      </w:r>
      <w:r w:rsidRPr="00DA71F4">
        <w:rPr>
          <w:rFonts w:ascii="Times New Roman" w:eastAsia="Times New Roman" w:hAnsi="Times New Roman" w:cs="Times New Roman"/>
          <w:vertAlign w:val="superscript"/>
        </w:rPr>
        <w:t>3</w:t>
      </w:r>
    </w:p>
    <w:p w:rsidR="00DA71F4" w:rsidRDefault="00344A0C" w:rsidP="00DA71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71F4">
        <w:rPr>
          <w:rFonts w:ascii="Times New Roman" w:eastAsia="Times New Roman" w:hAnsi="Times New Roman" w:cs="Times New Roman"/>
          <w:vertAlign w:val="superscript"/>
        </w:rPr>
        <w:t>1</w:t>
      </w:r>
      <w:r w:rsidRPr="00DA71F4">
        <w:rPr>
          <w:rFonts w:ascii="Times New Roman" w:eastAsia="Times New Roman" w:hAnsi="Times New Roman" w:cs="Times New Roman"/>
        </w:rPr>
        <w:t xml:space="preserve">Hospital Dr. Leonardo Guzmán (Antofagasta)- Facultad de Medicina Universidad de Antofagasta., </w:t>
      </w:r>
      <w:r w:rsidRPr="00DA71F4">
        <w:rPr>
          <w:rFonts w:ascii="Times New Roman" w:eastAsia="Times New Roman" w:hAnsi="Times New Roman" w:cs="Times New Roman"/>
          <w:vertAlign w:val="superscript"/>
        </w:rPr>
        <w:t>2</w:t>
      </w:r>
      <w:r w:rsidRPr="00DA71F4">
        <w:rPr>
          <w:rFonts w:ascii="Times New Roman" w:eastAsia="Times New Roman" w:hAnsi="Times New Roman" w:cs="Times New Roman"/>
        </w:rPr>
        <w:t xml:space="preserve">Facultad de Medicina Universidad de Antofagasta., </w:t>
      </w:r>
      <w:r w:rsidRPr="00DA71F4">
        <w:rPr>
          <w:rFonts w:ascii="Times New Roman" w:eastAsia="Times New Roman" w:hAnsi="Times New Roman" w:cs="Times New Roman"/>
          <w:vertAlign w:val="superscript"/>
        </w:rPr>
        <w:t>3</w:t>
      </w:r>
      <w:r w:rsidRPr="00DA71F4">
        <w:rPr>
          <w:rFonts w:ascii="Times New Roman" w:eastAsia="Times New Roman" w:hAnsi="Times New Roman" w:cs="Times New Roman"/>
        </w:rPr>
        <w:t>Facultad de Medicina Universidad de Antofagasta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DA71F4">
        <w:rPr>
          <w:b/>
          <w:sz w:val="22"/>
          <w:szCs w:val="22"/>
        </w:rPr>
        <w:t>Objetivos.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>Evaluar en un periodo de 12 meses los cambios en los niveles hormonales y eventuales efectos adversos del tratamiento de readecuación corporal hormonal en personas transgéneros.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b/>
          <w:sz w:val="22"/>
          <w:szCs w:val="22"/>
        </w:rPr>
        <w:t>Diseño experimental y metodología</w:t>
      </w:r>
      <w:r w:rsidRPr="00DA71F4">
        <w:rPr>
          <w:sz w:val="22"/>
          <w:szCs w:val="22"/>
        </w:rPr>
        <w:t>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>En una cohorte de personas transgéneros sometidas a tratamiento hormonal de readecuación corporal, se evaluó parámetros antropométricos (peso, talla, presión arterial) y de laboratorio (testosterona total(TT), estradiol(E2), LH, FSH, prolactina(PRL), colesterol total(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), HDL, LDL, triglicéridos(TG), insulina, glucosa, perfil hepático, creatinina, electrolitos plasmáticos, hemograma, TSH, T4, 17OHP), al inicio, 3, 6, 9 y 12 meses de tratamiento. </w:t>
      </w:r>
      <w:proofErr w:type="gramStart"/>
      <w:r w:rsidRPr="00DA71F4">
        <w:rPr>
          <w:sz w:val="22"/>
          <w:szCs w:val="22"/>
        </w:rPr>
        <w:t>La</w:t>
      </w:r>
      <w:proofErr w:type="gramEnd"/>
      <w:r w:rsidRPr="00DA71F4">
        <w:rPr>
          <w:sz w:val="22"/>
          <w:szCs w:val="22"/>
        </w:rPr>
        <w:t xml:space="preserve"> personas trans-masculinas usaron testosterona </w:t>
      </w:r>
      <w:proofErr w:type="spellStart"/>
      <w:r w:rsidRPr="00DA71F4">
        <w:rPr>
          <w:sz w:val="22"/>
          <w:szCs w:val="22"/>
        </w:rPr>
        <w:t>im</w:t>
      </w:r>
      <w:proofErr w:type="spellEnd"/>
      <w:r w:rsidRPr="00DA71F4">
        <w:rPr>
          <w:sz w:val="22"/>
          <w:szCs w:val="22"/>
        </w:rPr>
        <w:t xml:space="preserve"> y las trans-femeninas estradiol en gel </w:t>
      </w:r>
      <w:proofErr w:type="spellStart"/>
      <w:r w:rsidRPr="00DA71F4">
        <w:rPr>
          <w:sz w:val="22"/>
          <w:szCs w:val="22"/>
        </w:rPr>
        <w:t>yespironolactona</w:t>
      </w:r>
      <w:proofErr w:type="spellEnd"/>
      <w:r w:rsidRPr="00DA71F4">
        <w:rPr>
          <w:sz w:val="22"/>
          <w:szCs w:val="22"/>
        </w:rPr>
        <w:t>. Se solicitó consentimiento informado y autorización del comité de ética.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DA71F4">
        <w:rPr>
          <w:b/>
          <w:sz w:val="22"/>
          <w:szCs w:val="22"/>
        </w:rPr>
        <w:t>Resultados.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 xml:space="preserve">63 personas, 19 sin tratamiento hormonal previo, 14 presentaban tratamiento hormonal previo </w:t>
      </w:r>
      <w:proofErr w:type="spellStart"/>
      <w:r w:rsidRPr="00DA71F4">
        <w:rPr>
          <w:sz w:val="22"/>
          <w:szCs w:val="22"/>
        </w:rPr>
        <w:t>automedicado</w:t>
      </w:r>
      <w:proofErr w:type="spellEnd"/>
      <w:r w:rsidRPr="00DA71F4">
        <w:rPr>
          <w:sz w:val="22"/>
          <w:szCs w:val="22"/>
        </w:rPr>
        <w:t>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 xml:space="preserve">30 trans-masculinos, </w:t>
      </w:r>
      <w:r w:rsidRPr="00DA71F4">
        <w:rPr>
          <w:sz w:val="22"/>
          <w:szCs w:val="22"/>
          <w:u w:val="single"/>
        </w:rPr>
        <w:t xml:space="preserve">al ingreso </w:t>
      </w:r>
      <w:r w:rsidRPr="00DA71F4">
        <w:rPr>
          <w:sz w:val="22"/>
          <w:szCs w:val="22"/>
        </w:rPr>
        <w:t xml:space="preserve">promedios de IMC 25, TT 250ng/dl, E2 88pg/ml, LH 11mUI/ml, FSH 7,7uUI/ml, TSH 2,7uUI/ml, 17OHP 0,7ng/ml,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152 mg/dl, HDL 50mg/dl, LDL 83mg/dl, TG 92mg/dl, HOMA 2; </w:t>
      </w:r>
      <w:r w:rsidRPr="00DA71F4">
        <w:rPr>
          <w:sz w:val="22"/>
          <w:szCs w:val="22"/>
          <w:u w:val="single"/>
        </w:rPr>
        <w:t xml:space="preserve">a los 6 meses </w:t>
      </w:r>
      <w:r w:rsidRPr="00DA71F4">
        <w:rPr>
          <w:sz w:val="22"/>
          <w:szCs w:val="22"/>
        </w:rPr>
        <w:t xml:space="preserve">IMC 27.9, TT 589ng/dl, E2 46pg/ml, LH 8mUI/ml, FSH 4,1mUI/ml,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157mg/dl, HDL 46mg/dl, LDL 90mg/dl, TG 108mg/dl, HOMA 2,2; a </w:t>
      </w:r>
      <w:r w:rsidRPr="00DA71F4">
        <w:rPr>
          <w:sz w:val="22"/>
          <w:szCs w:val="22"/>
          <w:u w:val="single"/>
        </w:rPr>
        <w:t>los 12 meses</w:t>
      </w:r>
      <w:r w:rsidRPr="00DA71F4">
        <w:rPr>
          <w:sz w:val="22"/>
          <w:szCs w:val="22"/>
        </w:rPr>
        <w:t xml:space="preserve"> IMC 29, TT 556ng/dl, E2 32pg/ml, LH 4,8mUI/ml, FSH 7,1mUI/ml,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139mg/dl, HDL 43mg/dl, LDL 80mg/dl, TG 105mg/dl, HOMA 2,2. 13% presentó HOMA&gt;2,6, 10% elevación del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&gt;200mg/dl, 10% LDL&gt;100 y 23% </w:t>
      </w:r>
      <w:proofErr w:type="spellStart"/>
      <w:r w:rsidRPr="00DA71F4">
        <w:rPr>
          <w:sz w:val="22"/>
          <w:szCs w:val="22"/>
        </w:rPr>
        <w:t>TGs</w:t>
      </w:r>
      <w:proofErr w:type="spellEnd"/>
      <w:r w:rsidRPr="00DA71F4">
        <w:rPr>
          <w:sz w:val="22"/>
          <w:szCs w:val="22"/>
        </w:rPr>
        <w:t xml:space="preserve">&gt;150 </w:t>
      </w:r>
      <w:proofErr w:type="spellStart"/>
      <w:r w:rsidRPr="00DA71F4">
        <w:rPr>
          <w:sz w:val="22"/>
          <w:szCs w:val="22"/>
        </w:rPr>
        <w:t>intratratamiento</w:t>
      </w:r>
      <w:proofErr w:type="spellEnd"/>
      <w:r w:rsidRPr="00DA71F4">
        <w:rPr>
          <w:sz w:val="22"/>
          <w:szCs w:val="22"/>
        </w:rPr>
        <w:t>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>33 trans-femeninos</w:t>
      </w:r>
      <w:r w:rsidRPr="00DA71F4">
        <w:rPr>
          <w:sz w:val="22"/>
          <w:szCs w:val="22"/>
          <w:u w:val="single"/>
        </w:rPr>
        <w:t>, al ingreso promedios</w:t>
      </w:r>
      <w:r w:rsidRPr="00DA71F4">
        <w:rPr>
          <w:sz w:val="22"/>
          <w:szCs w:val="22"/>
        </w:rPr>
        <w:t xml:space="preserve"> IMC 26,2, TT 329ng/dl, E2 30pg/ml, LH 8.2uUI/ml, FSH 12.8uUI/ml, PRL 25ng/dl TSH 3,9uUI/ml,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173mg/dl, HDL 48mg/dl, LDL 103mg/dl, TG 128mg/dl, HOMA2,5; </w:t>
      </w:r>
      <w:r w:rsidRPr="00DA71F4">
        <w:rPr>
          <w:sz w:val="22"/>
          <w:szCs w:val="22"/>
          <w:u w:val="single"/>
        </w:rPr>
        <w:t>a los 6 meses</w:t>
      </w:r>
      <w:r w:rsidRPr="00DA71F4">
        <w:rPr>
          <w:sz w:val="22"/>
          <w:szCs w:val="22"/>
        </w:rPr>
        <w:t xml:space="preserve"> IMC 25, TT 481ng/dl, E2 56pg/ml, LH 7.4uUI/ml, FSH 8.1uUI/ml, PRL 15,6ng/dl,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154 mg/dl, HDL 45mg/dl, LDL 86mg/dl, TG 110mg/dl, HOMA3,1; </w:t>
      </w:r>
      <w:r w:rsidRPr="00DA71F4">
        <w:rPr>
          <w:sz w:val="22"/>
          <w:szCs w:val="22"/>
          <w:u w:val="single"/>
        </w:rPr>
        <w:t>a los 12 meses</w:t>
      </w:r>
      <w:r w:rsidRPr="00DA71F4">
        <w:rPr>
          <w:sz w:val="22"/>
          <w:szCs w:val="22"/>
        </w:rPr>
        <w:t xml:space="preserve"> IMC 28,1, TT 565ng/dl, E2 56pg/ml, LH 9,4uUI/ml, FSH 13uUI/ml, PRL 20ng/dl, </w:t>
      </w:r>
      <w:proofErr w:type="spellStart"/>
      <w:r w:rsidRPr="00DA71F4">
        <w:rPr>
          <w:sz w:val="22"/>
          <w:szCs w:val="22"/>
        </w:rPr>
        <w:t>ColT</w:t>
      </w:r>
      <w:proofErr w:type="spellEnd"/>
      <w:r w:rsidRPr="00DA71F4">
        <w:rPr>
          <w:sz w:val="22"/>
          <w:szCs w:val="22"/>
        </w:rPr>
        <w:t xml:space="preserve"> 154mg/dl, HDL 39mg/dl, LDL 94 mg/dl, TG 100mg/dl, HOMA1,2. 6% presentó HOMA &gt;2,6, pero ninguno presentó alteraciones del perfil lipídico </w:t>
      </w:r>
      <w:proofErr w:type="spellStart"/>
      <w:r w:rsidRPr="00DA71F4">
        <w:rPr>
          <w:sz w:val="22"/>
          <w:szCs w:val="22"/>
        </w:rPr>
        <w:t>intratratamiento</w:t>
      </w:r>
      <w:proofErr w:type="spellEnd"/>
      <w:r w:rsidRPr="00DA71F4">
        <w:rPr>
          <w:sz w:val="22"/>
          <w:szCs w:val="22"/>
        </w:rPr>
        <w:t>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 xml:space="preserve">13% presentó hiperprolactinemia, con estudio negativo para prolactinoma. No se presentaron alteraciones de creatinina, del hematocrito ni de las pruebas hepáticas, tampoco eventos </w:t>
      </w:r>
      <w:proofErr w:type="spellStart"/>
      <w:r w:rsidRPr="00DA71F4">
        <w:rPr>
          <w:sz w:val="22"/>
          <w:szCs w:val="22"/>
        </w:rPr>
        <w:t>tromboembólicos</w:t>
      </w:r>
      <w:proofErr w:type="spellEnd"/>
      <w:r w:rsidRPr="00DA71F4">
        <w:rPr>
          <w:sz w:val="22"/>
          <w:szCs w:val="22"/>
        </w:rPr>
        <w:t xml:space="preserve">. Se debió suspender tratamiento por aparición de neoplasias en durante el seguimiento en 2 pacientes y espironolactona por </w:t>
      </w:r>
      <w:proofErr w:type="spellStart"/>
      <w:r w:rsidRPr="00DA71F4">
        <w:rPr>
          <w:sz w:val="22"/>
          <w:szCs w:val="22"/>
        </w:rPr>
        <w:t>hiperkalemia</w:t>
      </w:r>
      <w:proofErr w:type="spellEnd"/>
      <w:r w:rsidRPr="00DA71F4">
        <w:rPr>
          <w:sz w:val="22"/>
          <w:szCs w:val="22"/>
        </w:rPr>
        <w:t xml:space="preserve"> en 1.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DA71F4">
        <w:rPr>
          <w:b/>
          <w:sz w:val="22"/>
          <w:szCs w:val="22"/>
        </w:rPr>
        <w:t>Discusión.</w:t>
      </w:r>
    </w:p>
    <w:p w:rsidR="0066581F" w:rsidRPr="00DA71F4" w:rsidRDefault="00344A0C" w:rsidP="00DA71F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71F4">
        <w:rPr>
          <w:sz w:val="22"/>
          <w:szCs w:val="22"/>
        </w:rPr>
        <w:t>El tratamiento de readecuación corporal hormonal en personas transgéneros es un tratamiento seguro, con pocos efectos adversos si es realizado bajo control médico. En nuestra cohorte las personas trans-masculinos son más adherente a tratamiento y logran mejor las recomendaciones internacionales de niveles hormonales, pero con mayor frecuencia de alteraciones del perfil lipídico, HOMA y el IMC.</w:t>
      </w:r>
    </w:p>
    <w:p w:rsidR="00344A0C" w:rsidRPr="00DA71F4" w:rsidRDefault="00344A0C" w:rsidP="00DA71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71F4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DA71F4">
        <w:rPr>
          <w:rFonts w:ascii="Times New Roman" w:eastAsia="Times New Roman" w:hAnsi="Times New Roman" w:cs="Times New Roman"/>
        </w:rPr>
        <w:t xml:space="preserve">Sin financiamiento </w:t>
      </w:r>
    </w:p>
    <w:sectPr w:rsidR="00344A0C" w:rsidRPr="00DA71F4" w:rsidSect="0066581F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1C53"/>
    <w:rsid w:val="00117C59"/>
    <w:rsid w:val="00344A0C"/>
    <w:rsid w:val="0066581F"/>
    <w:rsid w:val="00791C53"/>
    <w:rsid w:val="00954FCA"/>
    <w:rsid w:val="00DA71F4"/>
    <w:rsid w:val="00F6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8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2018-08-06T19:35:00Z</dcterms:created>
  <dcterms:modified xsi:type="dcterms:W3CDTF">2018-09-30T21:07:00Z</dcterms:modified>
</cp:coreProperties>
</file>